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9544B" w:rsidR="00A20740" w:rsidP="00E20B90" w:rsidRDefault="00BF3DE7" w14:paraId="01D139D3" w14:textId="64068D74">
      <w:pPr>
        <w:pStyle w:val="Title1"/>
      </w:pPr>
      <w:r w:rsidR="00BF3DE7">
        <w:rPr/>
        <w:t>A</w:t>
      </w:r>
      <w:r w:rsidR="731BED44">
        <w:rPr/>
        <w:t xml:space="preserve">pplication </w:t>
      </w:r>
      <w:r w:rsidR="00BF3DE7">
        <w:rPr/>
        <w:t>L</w:t>
      </w:r>
      <w:r w:rsidR="520830C5">
        <w:rPr/>
        <w:t xml:space="preserve">ifecycle </w:t>
      </w:r>
      <w:r w:rsidR="00BF3DE7">
        <w:rPr/>
        <w:t>M</w:t>
      </w:r>
      <w:r w:rsidR="3CA836B7">
        <w:rPr/>
        <w:t>anagement (ALM)</w:t>
      </w:r>
    </w:p>
    <w:p w:rsidR="004E292A" w:rsidP="004E292A" w:rsidRDefault="004E292A" w14:paraId="0CDD3F91" w14:textId="77777777">
      <w:pPr>
        <w:rPr>
          <w:b/>
          <w:bCs/>
        </w:rPr>
      </w:pPr>
    </w:p>
    <w:p w:rsidRPr="00B60DB2" w:rsidR="00B60DB2" w:rsidP="00B60DB2" w:rsidRDefault="00B60DB2" w14:paraId="3C910086" w14:textId="77777777">
      <w:r w:rsidRPr="00B60DB2">
        <w:rPr>
          <w:b/>
          <w:bCs/>
        </w:rPr>
        <w:t>Deliver secure, compliant, always-updated environments without draining your resources.</w:t>
      </w:r>
    </w:p>
    <w:p w:rsidRPr="00B60DB2" w:rsidR="00B60DB2" w:rsidP="00B60DB2" w:rsidRDefault="00B60DB2" w14:paraId="21CDE2FB" w14:textId="77777777">
      <w:r w:rsidRPr="00B60DB2">
        <w:t xml:space="preserve">Rimo3 gives partners a powerful way to solve one of </w:t>
      </w:r>
      <w:proofErr w:type="gramStart"/>
      <w:r w:rsidRPr="00B60DB2">
        <w:t>IT’s</w:t>
      </w:r>
      <w:proofErr w:type="gramEnd"/>
      <w:r w:rsidRPr="00B60DB2">
        <w:t xml:space="preserve"> most persistent pain points: patching third-party </w:t>
      </w:r>
      <w:proofErr w:type="gramStart"/>
      <w:r w:rsidRPr="00B60DB2">
        <w:t>applications at</w:t>
      </w:r>
      <w:proofErr w:type="gramEnd"/>
      <w:r w:rsidRPr="00B60DB2">
        <w:t xml:space="preserve"> scale. By automating not just packaging and deployment, but also environment-specific validation, you can offer clients a fast, intelligent, and fully compliant patching service that’s easy to scale without the </w:t>
      </w:r>
      <w:proofErr w:type="spellStart"/>
      <w:r w:rsidRPr="00B60DB2">
        <w:t>labour-intensive</w:t>
      </w:r>
      <w:proofErr w:type="spellEnd"/>
      <w:r w:rsidRPr="00B60DB2">
        <w:t>, risky nature of manual patching.</w:t>
      </w:r>
    </w:p>
    <w:p w:rsidR="00B60DB2" w:rsidP="00B60DB2" w:rsidRDefault="00B60DB2" w14:paraId="32B988A5" w14:textId="77777777"/>
    <w:p w:rsidRPr="00B60DB2" w:rsidR="00B60DB2" w:rsidP="00B60DB2" w:rsidRDefault="00B60DB2" w14:paraId="728989E7" w14:textId="13294E9D">
      <w:r w:rsidRPr="00B60DB2">
        <w:t>With Rimo3, you can patch thousands of apps hands-free, confidently protect your customers from vulnerabilities, and reduce support tickets from failed updates while driving high-margin services without increasing your delivery burden. And because Rimo3 integrates cleanly into ITSM workflows, it fits seamlessly into your clients’ environments.</w:t>
      </w:r>
    </w:p>
    <w:p w:rsidRPr="00B60DB2" w:rsidR="00B60DB2" w:rsidP="00B60DB2" w:rsidRDefault="00B60DB2" w14:paraId="217C5124" w14:textId="77777777">
      <w:pPr>
        <w:numPr>
          <w:ilvl w:val="0"/>
          <w:numId w:val="25"/>
        </w:numPr>
      </w:pPr>
      <w:r w:rsidRPr="00B60DB2">
        <w:t>Deliver more secure and compliant client environments in shorter timeframes</w:t>
      </w:r>
    </w:p>
    <w:p w:rsidRPr="00B60DB2" w:rsidR="00B60DB2" w:rsidP="00B60DB2" w:rsidRDefault="00B60DB2" w14:paraId="39418D0C" w14:textId="77777777">
      <w:pPr>
        <w:numPr>
          <w:ilvl w:val="0"/>
          <w:numId w:val="25"/>
        </w:numPr>
      </w:pPr>
      <w:r w:rsidRPr="00B60DB2">
        <w:t>Reduce labor costs and rework tied to failed patches</w:t>
      </w:r>
    </w:p>
    <w:p w:rsidRPr="00B60DB2" w:rsidR="00B60DB2" w:rsidP="00B60DB2" w:rsidRDefault="00B60DB2" w14:paraId="22CCDD54" w14:textId="77777777">
      <w:pPr>
        <w:numPr>
          <w:ilvl w:val="0"/>
          <w:numId w:val="25"/>
        </w:numPr>
      </w:pPr>
      <w:r w:rsidRPr="00B60DB2">
        <w:t>Increase margins with scalable, automated patch services</w:t>
      </w:r>
    </w:p>
    <w:p w:rsidRPr="00B60DB2" w:rsidR="00E9544B" w:rsidP="00B60DB2" w:rsidRDefault="00B60DB2" w14:paraId="5C4D0D89" w14:textId="10D69546">
      <w:pPr>
        <w:numPr>
          <w:ilvl w:val="0"/>
          <w:numId w:val="25"/>
        </w:numPr>
      </w:pPr>
      <w:r w:rsidRPr="00B60DB2">
        <w:t>Create stickier managed service relationships</w:t>
      </w:r>
    </w:p>
    <w:p w:rsidR="001B1844" w:rsidP="00B817F5" w:rsidRDefault="001B1844" w14:paraId="303E9596" w14:textId="77777777">
      <w:pPr>
        <w:pBdr>
          <w:bottom w:val="single" w:color="auto" w:sz="8" w:space="1"/>
        </w:pBdr>
        <w:rPr>
          <w:lang w:val="en-GB"/>
        </w:rPr>
      </w:pPr>
    </w:p>
    <w:p w:rsidR="001B1844" w:rsidP="00E20B90" w:rsidRDefault="001B1844" w14:paraId="78DB0FA0" w14:textId="77777777">
      <w:pPr>
        <w:rPr>
          <w:lang w:val="en-GB"/>
        </w:rPr>
      </w:pPr>
    </w:p>
    <w:p w:rsidRPr="00CC4591" w:rsidR="00E9544B" w:rsidP="00DA18B8" w:rsidRDefault="00CD4982" w14:paraId="7C631A91" w14:textId="15EF1F31">
      <w:pPr>
        <w:pStyle w:val="Heading10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Highlights</w:t>
      </w:r>
    </w:p>
    <w:p w:rsidRPr="00B60DB2" w:rsidR="00B60DB2" w:rsidP="00B60DB2" w:rsidRDefault="00B60DB2" w14:paraId="413780D9" w14:textId="77777777">
      <w:pPr>
        <w:numPr>
          <w:ilvl w:val="0"/>
          <w:numId w:val="26"/>
        </w:numPr>
      </w:pPr>
      <w:r w:rsidRPr="00B60DB2">
        <w:rPr>
          <w:b/>
          <w:bCs/>
        </w:rPr>
        <w:t>Zero Touch</w:t>
      </w:r>
      <w:r w:rsidRPr="00B60DB2">
        <w:t>: Fully hands-free from intake to deployment, freeing up engineering time and reducing risk of human error.</w:t>
      </w:r>
    </w:p>
    <w:p w:rsidRPr="00B60DB2" w:rsidR="00B60DB2" w:rsidP="00B60DB2" w:rsidRDefault="00B60DB2" w14:paraId="0956CBA5" w14:textId="77777777">
      <w:pPr>
        <w:numPr>
          <w:ilvl w:val="0"/>
          <w:numId w:val="26"/>
        </w:numPr>
      </w:pPr>
      <w:r w:rsidRPr="00B60DB2">
        <w:rPr>
          <w:b/>
          <w:bCs/>
        </w:rPr>
        <w:t>Broad Patch Catalog</w:t>
      </w:r>
      <w:r w:rsidRPr="00B60DB2">
        <w:t>: Access 35,000+ prepackaged third-party applications, ready to deploy across environments.</w:t>
      </w:r>
    </w:p>
    <w:p w:rsidRPr="00B60DB2" w:rsidR="00B60DB2" w:rsidP="00B60DB2" w:rsidRDefault="00B60DB2" w14:paraId="61CF1F01" w14:textId="77777777">
      <w:pPr>
        <w:numPr>
          <w:ilvl w:val="0"/>
          <w:numId w:val="26"/>
        </w:numPr>
      </w:pPr>
      <w:r w:rsidRPr="00B60DB2">
        <w:rPr>
          <w:b/>
          <w:bCs/>
        </w:rPr>
        <w:t>Automated Packaging &amp; Testing</w:t>
      </w:r>
      <w:r w:rsidRPr="00B60DB2">
        <w:t>: Automatically repackage and validate each app update in a controlled test environment before deployment.</w:t>
      </w:r>
    </w:p>
    <w:p w:rsidRPr="00B60DB2" w:rsidR="00B60DB2" w:rsidP="00B60DB2" w:rsidRDefault="00B60DB2" w14:paraId="61E54DB1" w14:textId="77777777">
      <w:pPr>
        <w:numPr>
          <w:ilvl w:val="0"/>
          <w:numId w:val="26"/>
        </w:numPr>
      </w:pPr>
      <w:r w:rsidRPr="00B60DB2">
        <w:rPr>
          <w:b/>
          <w:bCs/>
        </w:rPr>
        <w:t>Context-Aware Validation</w:t>
      </w:r>
      <w:r w:rsidRPr="00B60DB2">
        <w:t>: Run compatibility tests against clients’ specific configurations to ensure compatibility and success results tailored to custom environments</w:t>
      </w:r>
    </w:p>
    <w:p w:rsidRPr="00B60DB2" w:rsidR="00B60DB2" w:rsidP="00B60DB2" w:rsidRDefault="00B60DB2" w14:paraId="34E26175" w14:textId="77777777">
      <w:pPr>
        <w:numPr>
          <w:ilvl w:val="0"/>
          <w:numId w:val="26"/>
        </w:numPr>
      </w:pPr>
      <w:r w:rsidRPr="00B60DB2">
        <w:rPr>
          <w:b/>
          <w:bCs/>
        </w:rPr>
        <w:t>ITSM Integration</w:t>
      </w:r>
      <w:r w:rsidRPr="00B60DB2">
        <w:t>: Seamlessly trigger patch workflows through existing ticketing tools (e.g., ServiceNow) to fit into established processes.</w:t>
      </w:r>
    </w:p>
    <w:p w:rsidRPr="00B60DB2" w:rsidR="00CD4982" w:rsidP="00B60DB2" w:rsidRDefault="00B60DB2" w14:paraId="395AEAAC" w14:textId="40B4C708">
      <w:pPr>
        <w:numPr>
          <w:ilvl w:val="0"/>
          <w:numId w:val="26"/>
        </w:numPr>
      </w:pPr>
      <w:r w:rsidRPr="00B60DB2">
        <w:rPr>
          <w:b/>
          <w:bCs/>
        </w:rPr>
        <w:t>Audit-Ready Reporting</w:t>
      </w:r>
      <w:r w:rsidRPr="00B60DB2">
        <w:t xml:space="preserve">: Maintain detailed logs of patch deployment and validation to demonstrate compliance </w:t>
      </w:r>
      <w:proofErr w:type="gramStart"/>
      <w:r w:rsidRPr="00B60DB2">
        <w:t>for</w:t>
      </w:r>
      <w:proofErr w:type="gramEnd"/>
      <w:r w:rsidRPr="00B60DB2">
        <w:t xml:space="preserve"> Cyber Essentials, NIS2, and internal security audits.</w:t>
      </w:r>
    </w:p>
    <w:p w:rsidR="00200024" w:rsidP="00CD4982" w:rsidRDefault="00200024" w14:paraId="75E973C3" w14:textId="3756CAC6"/>
    <w:p w:rsidRPr="00CC4591" w:rsidR="00CD4982" w:rsidP="00CD4982" w:rsidRDefault="00CD4982" w14:paraId="56DA8C7F" w14:textId="392810D0">
      <w:pPr>
        <w:pStyle w:val="Heading10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Business Benefits</w:t>
      </w:r>
    </w:p>
    <w:p w:rsidRPr="00BF3DE7" w:rsidR="00BF3DE7" w:rsidP="00BF3DE7" w:rsidRDefault="00BF3DE7" w14:paraId="7622238A" w14:textId="77777777">
      <w:pPr>
        <w:numPr>
          <w:ilvl w:val="0"/>
          <w:numId w:val="27"/>
        </w:numPr>
      </w:pPr>
      <w:r w:rsidRPr="00BF3DE7">
        <w:rPr>
          <w:b/>
          <w:bCs/>
        </w:rPr>
        <w:t>Minimize Operational Overhead</w:t>
      </w:r>
      <w:r w:rsidRPr="00BF3DE7">
        <w:t xml:space="preserve">: Eliminate manual packaging, validation, and testing </w:t>
      </w:r>
      <w:proofErr w:type="gramStart"/>
      <w:r w:rsidRPr="00BF3DE7">
        <w:t>tasks ;</w:t>
      </w:r>
      <w:proofErr w:type="gramEnd"/>
      <w:r w:rsidRPr="00BF3DE7">
        <w:t xml:space="preserve"> reducing engineering resource costs and increasing delivery capacity across accounts</w:t>
      </w:r>
    </w:p>
    <w:p w:rsidRPr="00BF3DE7" w:rsidR="00BF3DE7" w:rsidP="00BF3DE7" w:rsidRDefault="00BF3DE7" w14:paraId="16BA5E72" w14:textId="77777777">
      <w:pPr>
        <w:numPr>
          <w:ilvl w:val="0"/>
          <w:numId w:val="27"/>
        </w:numPr>
      </w:pPr>
      <w:r w:rsidRPr="00BF3DE7">
        <w:rPr>
          <w:b/>
          <w:bCs/>
        </w:rPr>
        <w:t>Deliver Continuous Compliance</w:t>
      </w:r>
      <w:r w:rsidRPr="00BF3DE7">
        <w:t>: Meet customer security requirements by ensuring applications are always up to date and validated, supporting Cyber Essentials, NIS2, and Zero Trust initiatives.</w:t>
      </w:r>
    </w:p>
    <w:p w:rsidRPr="00BF3DE7" w:rsidR="00BF3DE7" w:rsidP="00BF3DE7" w:rsidRDefault="00BF3DE7" w14:paraId="06C5F1E4" w14:textId="77777777">
      <w:pPr>
        <w:numPr>
          <w:ilvl w:val="0"/>
          <w:numId w:val="27"/>
        </w:numPr>
      </w:pPr>
      <w:r w:rsidRPr="00BF3DE7">
        <w:rPr>
          <w:b/>
          <w:bCs/>
        </w:rPr>
        <w:lastRenderedPageBreak/>
        <w:t>Drive Customer Retention</w:t>
      </w:r>
      <w:r w:rsidRPr="00BF3DE7">
        <w:t>: Reduce patching failures and security incidents that erode trust by proactively protecting against exposure to CVEs</w:t>
      </w:r>
    </w:p>
    <w:p w:rsidRPr="00BF3DE7" w:rsidR="00BF3DE7" w:rsidP="00BF3DE7" w:rsidRDefault="00BF3DE7" w14:paraId="72DD6D53" w14:textId="77777777">
      <w:pPr>
        <w:numPr>
          <w:ilvl w:val="0"/>
          <w:numId w:val="27"/>
        </w:numPr>
      </w:pPr>
      <w:r w:rsidRPr="00BF3DE7">
        <w:rPr>
          <w:b/>
          <w:bCs/>
        </w:rPr>
        <w:t>Differentiate in a Crowded Market</w:t>
      </w:r>
      <w:r w:rsidRPr="00BF3DE7">
        <w:t>: Offer a fully automated third-party patching solution with contextual validation that no other patching solution on the market offers</w:t>
      </w:r>
    </w:p>
    <w:p w:rsidRPr="00BF3DE7" w:rsidR="00CD4982" w:rsidP="00BF3DE7" w:rsidRDefault="00BF3DE7" w14:paraId="084F9564" w14:textId="60274CAF">
      <w:pPr>
        <w:numPr>
          <w:ilvl w:val="0"/>
          <w:numId w:val="27"/>
        </w:numPr>
      </w:pPr>
      <w:r w:rsidRPr="00BF3DE7">
        <w:rPr>
          <w:b/>
          <w:bCs/>
        </w:rPr>
        <w:t>Accelerate Time to Value</w:t>
      </w:r>
      <w:r w:rsidRPr="00BF3DE7">
        <w:t>: Patch applications faster with higher confidence and instant validation of patch readiness, boosting SLA performance and service quality</w:t>
      </w:r>
    </w:p>
    <w:sectPr w:rsidRPr="00BF3DE7" w:rsidR="00CD4982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D525A"/>
    <w:multiLevelType w:val="multilevel"/>
    <w:tmpl w:val="FB52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F293926"/>
    <w:multiLevelType w:val="multilevel"/>
    <w:tmpl w:val="2630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FA0197A"/>
    <w:multiLevelType w:val="multilevel"/>
    <w:tmpl w:val="117E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4CD3814"/>
    <w:multiLevelType w:val="multilevel"/>
    <w:tmpl w:val="3126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6DB0480"/>
    <w:multiLevelType w:val="multilevel"/>
    <w:tmpl w:val="9756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DEF1795"/>
    <w:multiLevelType w:val="multilevel"/>
    <w:tmpl w:val="B080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FBF1EE3"/>
    <w:multiLevelType w:val="multilevel"/>
    <w:tmpl w:val="1FB0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FF827B0"/>
    <w:multiLevelType w:val="multilevel"/>
    <w:tmpl w:val="91D4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262549B"/>
    <w:multiLevelType w:val="multilevel"/>
    <w:tmpl w:val="0446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9E7413A"/>
    <w:multiLevelType w:val="multilevel"/>
    <w:tmpl w:val="1D04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AFB1EED"/>
    <w:multiLevelType w:val="multilevel"/>
    <w:tmpl w:val="3C68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DC7668A"/>
    <w:multiLevelType w:val="multilevel"/>
    <w:tmpl w:val="F280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3A08728F"/>
    <w:multiLevelType w:val="multilevel"/>
    <w:tmpl w:val="2BD4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EFE4F21"/>
    <w:multiLevelType w:val="multilevel"/>
    <w:tmpl w:val="F414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4CC14E9F"/>
    <w:multiLevelType w:val="multilevel"/>
    <w:tmpl w:val="F082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4CD712F4"/>
    <w:multiLevelType w:val="multilevel"/>
    <w:tmpl w:val="B35A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4600AEA"/>
    <w:multiLevelType w:val="multilevel"/>
    <w:tmpl w:val="DE4A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6EDE0405"/>
    <w:multiLevelType w:val="multilevel"/>
    <w:tmpl w:val="E0C6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6F171990"/>
    <w:multiLevelType w:val="multilevel"/>
    <w:tmpl w:val="DB8C1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70CF10F6"/>
    <w:multiLevelType w:val="multilevel"/>
    <w:tmpl w:val="AAB4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71465683"/>
    <w:multiLevelType w:val="multilevel"/>
    <w:tmpl w:val="51C2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73E44362"/>
    <w:multiLevelType w:val="multilevel"/>
    <w:tmpl w:val="79D8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74AD739B"/>
    <w:multiLevelType w:val="hybridMultilevel"/>
    <w:tmpl w:val="B456E5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4DC6F4F"/>
    <w:multiLevelType w:val="hybridMultilevel"/>
    <w:tmpl w:val="ED30DB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74976EC"/>
    <w:multiLevelType w:val="multilevel"/>
    <w:tmpl w:val="26DE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78A34A5E"/>
    <w:multiLevelType w:val="multilevel"/>
    <w:tmpl w:val="60C2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7E1F501C"/>
    <w:multiLevelType w:val="multilevel"/>
    <w:tmpl w:val="25E0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886479346">
    <w:abstractNumId w:val="22"/>
  </w:num>
  <w:num w:numId="2" w16cid:durableId="119882573">
    <w:abstractNumId w:val="15"/>
  </w:num>
  <w:num w:numId="3" w16cid:durableId="1685590011">
    <w:abstractNumId w:val="24"/>
  </w:num>
  <w:num w:numId="4" w16cid:durableId="429399640">
    <w:abstractNumId w:val="11"/>
  </w:num>
  <w:num w:numId="5" w16cid:durableId="2016299779">
    <w:abstractNumId w:val="12"/>
  </w:num>
  <w:num w:numId="6" w16cid:durableId="1870869613">
    <w:abstractNumId w:val="25"/>
  </w:num>
  <w:num w:numId="7" w16cid:durableId="1206023770">
    <w:abstractNumId w:val="26"/>
  </w:num>
  <w:num w:numId="8" w16cid:durableId="980233956">
    <w:abstractNumId w:val="7"/>
  </w:num>
  <w:num w:numId="9" w16cid:durableId="1032924756">
    <w:abstractNumId w:val="9"/>
  </w:num>
  <w:num w:numId="10" w16cid:durableId="1999571092">
    <w:abstractNumId w:val="3"/>
  </w:num>
  <w:num w:numId="11" w16cid:durableId="738404745">
    <w:abstractNumId w:val="21"/>
  </w:num>
  <w:num w:numId="12" w16cid:durableId="692609821">
    <w:abstractNumId w:val="10"/>
  </w:num>
  <w:num w:numId="13" w16cid:durableId="88626169">
    <w:abstractNumId w:val="4"/>
  </w:num>
  <w:num w:numId="14" w16cid:durableId="2137066575">
    <w:abstractNumId w:val="13"/>
  </w:num>
  <w:num w:numId="15" w16cid:durableId="1171262353">
    <w:abstractNumId w:val="20"/>
  </w:num>
  <w:num w:numId="16" w16cid:durableId="2091341568">
    <w:abstractNumId w:val="23"/>
  </w:num>
  <w:num w:numId="17" w16cid:durableId="1531407069">
    <w:abstractNumId w:val="16"/>
  </w:num>
  <w:num w:numId="18" w16cid:durableId="1857767729">
    <w:abstractNumId w:val="18"/>
  </w:num>
  <w:num w:numId="19" w16cid:durableId="683943565">
    <w:abstractNumId w:val="2"/>
  </w:num>
  <w:num w:numId="20" w16cid:durableId="332799016">
    <w:abstractNumId w:val="5"/>
  </w:num>
  <w:num w:numId="21" w16cid:durableId="2710227">
    <w:abstractNumId w:val="19"/>
  </w:num>
  <w:num w:numId="22" w16cid:durableId="731391124">
    <w:abstractNumId w:val="14"/>
  </w:num>
  <w:num w:numId="23" w16cid:durableId="1407068671">
    <w:abstractNumId w:val="17"/>
  </w:num>
  <w:num w:numId="24" w16cid:durableId="1411121952">
    <w:abstractNumId w:val="1"/>
  </w:num>
  <w:num w:numId="25" w16cid:durableId="900797901">
    <w:abstractNumId w:val="0"/>
  </w:num>
  <w:num w:numId="26" w16cid:durableId="237909984">
    <w:abstractNumId w:val="6"/>
  </w:num>
  <w:num w:numId="27" w16cid:durableId="16516392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4B"/>
    <w:rsid w:val="001B1844"/>
    <w:rsid w:val="001F4A32"/>
    <w:rsid w:val="00200024"/>
    <w:rsid w:val="002365C7"/>
    <w:rsid w:val="00255672"/>
    <w:rsid w:val="004E292A"/>
    <w:rsid w:val="00683257"/>
    <w:rsid w:val="008775AA"/>
    <w:rsid w:val="00A20740"/>
    <w:rsid w:val="00AC2DDD"/>
    <w:rsid w:val="00B60DB2"/>
    <w:rsid w:val="00B817F5"/>
    <w:rsid w:val="00BE0EC2"/>
    <w:rsid w:val="00BF3DE7"/>
    <w:rsid w:val="00C64E6F"/>
    <w:rsid w:val="00CC4591"/>
    <w:rsid w:val="00CD4982"/>
    <w:rsid w:val="00DA18B8"/>
    <w:rsid w:val="00E20B90"/>
    <w:rsid w:val="00E9544B"/>
    <w:rsid w:val="00EC598D"/>
    <w:rsid w:val="00F10D4A"/>
    <w:rsid w:val="00FF6D7E"/>
    <w:rsid w:val="1606B60C"/>
    <w:rsid w:val="3CA836B7"/>
    <w:rsid w:val="520830C5"/>
    <w:rsid w:val="731BE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6DC5A"/>
  <w15:chartTrackingRefBased/>
  <w15:docId w15:val="{CBBAA3FC-2880-4877-9DE3-8FC014EE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D4982"/>
    <w:pPr>
      <w:spacing w:after="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44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44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4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4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4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4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54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4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9544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9544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9544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9544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9544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9544B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9544B"/>
    <w:rPr>
      <w:rFonts w:eastAsiaTheme="majorEastAsia" w:cstheme="majorBidi"/>
      <w:color w:val="595959" w:themeColor="text1" w:themeTint="A6"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9544B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9544B"/>
    <w:rPr>
      <w:rFonts w:eastAsiaTheme="majorEastAsia" w:cstheme="majorBidi"/>
      <w:color w:val="272727" w:themeColor="text1" w:themeTint="D8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9544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9544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4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95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544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954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54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54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44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954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544B"/>
    <w:rPr>
      <w:b/>
      <w:bCs/>
      <w:smallCaps/>
      <w:color w:val="0F4761" w:themeColor="accent1" w:themeShade="BF"/>
      <w:spacing w:val="5"/>
    </w:rPr>
  </w:style>
  <w:style w:type="paragraph" w:styleId="Title1" w:customStyle="1">
    <w:name w:val="Title_1"/>
    <w:basedOn w:val="Normal"/>
    <w:link w:val="Title1Char"/>
    <w:qFormat/>
    <w:rsid w:val="001F4A32"/>
    <w:rPr>
      <w:b/>
      <w:bCs/>
      <w:sz w:val="40"/>
      <w:szCs w:val="40"/>
      <w:lang w:val="en-GB"/>
    </w:rPr>
  </w:style>
  <w:style w:type="character" w:styleId="Title1Char" w:customStyle="1">
    <w:name w:val="Title_1 Char"/>
    <w:basedOn w:val="DefaultParagraphFont"/>
    <w:link w:val="Title1"/>
    <w:rsid w:val="001F4A32"/>
    <w:rPr>
      <w:b/>
      <w:bCs/>
      <w:sz w:val="40"/>
      <w:szCs w:val="40"/>
      <w:lang w:val="en-GB"/>
    </w:rPr>
  </w:style>
  <w:style w:type="paragraph" w:styleId="Heading10" w:customStyle="1">
    <w:name w:val="Heading_1"/>
    <w:basedOn w:val="Normal"/>
    <w:link w:val="Heading1Char0"/>
    <w:qFormat/>
    <w:rsid w:val="001F4A32"/>
    <w:rPr>
      <w:b/>
      <w:bCs/>
      <w:sz w:val="28"/>
      <w:szCs w:val="28"/>
    </w:rPr>
  </w:style>
  <w:style w:type="character" w:styleId="Heading1Char0" w:customStyle="1">
    <w:name w:val="Heading_1 Char"/>
    <w:basedOn w:val="DefaultParagraphFont"/>
    <w:link w:val="Heading10"/>
    <w:rsid w:val="001F4A32"/>
    <w:rPr>
      <w:b/>
      <w:bCs/>
      <w:sz w:val="28"/>
      <w:szCs w:val="28"/>
    </w:rPr>
  </w:style>
  <w:style w:type="paragraph" w:styleId="Heading20" w:customStyle="1">
    <w:name w:val="Heading_2"/>
    <w:basedOn w:val="Normal"/>
    <w:link w:val="Heading2Char0"/>
    <w:qFormat/>
    <w:rsid w:val="001F4A32"/>
    <w:rPr>
      <w:b/>
      <w:bCs/>
      <w:lang w:val="en-GB"/>
    </w:rPr>
  </w:style>
  <w:style w:type="character" w:styleId="Heading2Char0" w:customStyle="1">
    <w:name w:val="Heading_2 Char"/>
    <w:basedOn w:val="DefaultParagraphFont"/>
    <w:link w:val="Heading20"/>
    <w:rsid w:val="001F4A32"/>
    <w:rPr>
      <w:b/>
      <w:bCs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c14956-5001-4172-93c5-2e2587f625e5" xsi:nil="true"/>
    <lcf76f155ced4ddcb4097134ff3c332f xmlns="78b82312-11a2-4d4a-b01c-727a81398fc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D899A6BBACE43AB70A690EB8F4997" ma:contentTypeVersion="12" ma:contentTypeDescription="Create a new document." ma:contentTypeScope="" ma:versionID="0c4559c96c090f9d9b0d1c75330a45f9">
  <xsd:schema xmlns:xsd="http://www.w3.org/2001/XMLSchema" xmlns:xs="http://www.w3.org/2001/XMLSchema" xmlns:p="http://schemas.microsoft.com/office/2006/metadata/properties" xmlns:ns2="78b82312-11a2-4d4a-b01c-727a81398fce" xmlns:ns3="c0c14956-5001-4172-93c5-2e2587f625e5" targetNamespace="http://schemas.microsoft.com/office/2006/metadata/properties" ma:root="true" ma:fieldsID="33999c08c15538fa0da4be3b00a39a3b" ns2:_="" ns3:_="">
    <xsd:import namespace="78b82312-11a2-4d4a-b01c-727a81398fce"/>
    <xsd:import namespace="c0c14956-5001-4172-93c5-2e2587f62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82312-11a2-4d4a-b01c-727a81398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22298e7-696c-409e-8551-b8fd2837a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14956-5001-4172-93c5-2e2587f625e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aa2344d-3d6a-44f2-8590-f00dd317e3bf}" ma:internalName="TaxCatchAll" ma:showField="CatchAllData" ma:web="c0c14956-5001-4172-93c5-2e2587f62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82929-C6CD-4D73-9DF9-6C53F9A027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393AD0-895A-4227-8177-97FA346A8B5C}">
  <ds:schemaRefs>
    <ds:schemaRef ds:uri="http://schemas.microsoft.com/office/2006/metadata/properties"/>
    <ds:schemaRef ds:uri="http://schemas.microsoft.com/office/infopath/2007/PartnerControls"/>
    <ds:schemaRef ds:uri="c0c14956-5001-4172-93c5-2e2587f625e5"/>
    <ds:schemaRef ds:uri="78b82312-11a2-4d4a-b01c-727a81398fce"/>
  </ds:schemaRefs>
</ds:datastoreItem>
</file>

<file path=customXml/itemProps3.xml><?xml version="1.0" encoding="utf-8"?>
<ds:datastoreItem xmlns:ds="http://schemas.openxmlformats.org/officeDocument/2006/customXml" ds:itemID="{1A70A0A9-21C4-4886-97FD-DA123B2DB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82312-11a2-4d4a-b01c-727a81398fce"/>
    <ds:schemaRef ds:uri="c0c14956-5001-4172-93c5-2e2587f62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Sabrina Dhaliwal</dc:creator>
  <keywords/>
  <dc:description/>
  <lastModifiedBy>Dave Cumberworth</lastModifiedBy>
  <revision>20</revision>
  <dcterms:created xsi:type="dcterms:W3CDTF">2025-07-23T02:55:00.0000000Z</dcterms:created>
  <dcterms:modified xsi:type="dcterms:W3CDTF">2025-08-11T12:29:28.3622145Z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85600</vt:r8>
  </property>
  <property fmtid="{D5CDD505-2E9C-101B-9397-08002B2CF9AE}" pid="3" name="ContentTypeId">
    <vt:lpwstr>0x010100CB5D899A6BBACE43AB70A690EB8F4997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